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E9" w:rsidRDefault="004F50B8">
      <w:pPr>
        <w:pBdr>
          <w:top w:val="single" w:sz="4" w:space="1" w:color="auto"/>
          <w:left w:val="single" w:sz="4" w:space="4" w:color="auto"/>
          <w:bottom w:val="single" w:sz="4" w:space="1" w:color="auto"/>
          <w:right w:val="single" w:sz="4" w:space="4" w:color="auto"/>
        </w:pBdr>
        <w:shd w:val="clear" w:color="auto" w:fill="D9D9D9"/>
        <w:spacing w:after="360" w:line="25" w:lineRule="atLeast"/>
        <w:jc w:val="center"/>
        <w:rPr>
          <w:b/>
          <w:smallCaps/>
          <w:sz w:val="24"/>
          <w:szCs w:val="24"/>
        </w:rPr>
      </w:pPr>
      <w:bookmarkStart w:id="0" w:name="_GoBack"/>
      <w:bookmarkEnd w:id="0"/>
      <w:r>
        <w:rPr>
          <w:b/>
          <w:smallCaps/>
          <w:sz w:val="24"/>
          <w:szCs w:val="24"/>
        </w:rPr>
        <w:t xml:space="preserve">tutoriel et </w:t>
      </w:r>
      <w:proofErr w:type="spellStart"/>
      <w:r>
        <w:rPr>
          <w:b/>
          <w:smallCaps/>
          <w:sz w:val="24"/>
          <w:szCs w:val="24"/>
        </w:rPr>
        <w:t>faq</w:t>
      </w:r>
      <w:proofErr w:type="spellEnd"/>
      <w:r>
        <w:rPr>
          <w:b/>
          <w:smallCaps/>
          <w:sz w:val="24"/>
          <w:szCs w:val="24"/>
        </w:rPr>
        <w:t xml:space="preserve"> pour réaliser un marché de faible montant : </w:t>
      </w:r>
      <w:r>
        <w:rPr>
          <w:b/>
          <w:smallCaps/>
          <w:color w:val="E36C0A" w:themeColor="accent6" w:themeShade="BF"/>
          <w:sz w:val="24"/>
          <w:szCs w:val="24"/>
        </w:rPr>
        <w:t>attribution</w:t>
      </w:r>
    </w:p>
    <w:p w:rsidR="009943E9" w:rsidRDefault="004F50B8">
      <w:pPr>
        <w:spacing w:line="25" w:lineRule="atLeast"/>
        <w:jc w:val="both"/>
      </w:pPr>
      <w:r>
        <w:t>La présente fiche à vocation à être un tutoriel pour vous aider à remplir le modèle de « Rapport d’attributi</w:t>
      </w:r>
      <w:r w:rsidR="00881359">
        <w:t>on » pour les marchés de faible montant</w:t>
      </w:r>
      <w:r>
        <w:t xml:space="preserve">, soit de </w:t>
      </w:r>
      <w:r>
        <w:rPr>
          <w:b/>
        </w:rPr>
        <w:t xml:space="preserve">moins de 30 000 euros </w:t>
      </w:r>
      <w:r>
        <w:rPr>
          <w:b/>
        </w:rPr>
        <w:t>HTVA</w:t>
      </w:r>
      <w:r>
        <w:t>. Elle sera suivie d’une foire aux questions (FAQ) reprenant les questions les plus fréquemment posées.</w:t>
      </w:r>
    </w:p>
    <w:p w:rsidR="009943E9" w:rsidRDefault="004F50B8">
      <w:pPr>
        <w:pStyle w:val="Paragraphedeliste"/>
        <w:numPr>
          <w:ilvl w:val="0"/>
          <w:numId w:val="3"/>
        </w:numPr>
        <w:spacing w:line="25" w:lineRule="atLeast"/>
        <w:jc w:val="both"/>
        <w:rPr>
          <w:rFonts w:cs="Times New Roman"/>
          <w:b/>
          <w:szCs w:val="20"/>
        </w:rPr>
      </w:pPr>
      <w:r>
        <w:rPr>
          <w:rFonts w:cs="Times New Roman"/>
          <w:b/>
          <w:szCs w:val="20"/>
        </w:rPr>
        <w:t>Tutoriel</w:t>
      </w:r>
    </w:p>
    <w:p w:rsidR="009943E9" w:rsidRDefault="009943E9">
      <w:pPr>
        <w:pStyle w:val="Paragraphedeliste"/>
        <w:spacing w:line="25" w:lineRule="atLeast"/>
        <w:jc w:val="both"/>
        <w:rPr>
          <w:rFonts w:cs="Times New Roman"/>
          <w:b/>
          <w:szCs w:val="20"/>
        </w:rPr>
      </w:pPr>
    </w:p>
    <w:p w:rsidR="009943E9" w:rsidRDefault="004F50B8">
      <w:pPr>
        <w:pStyle w:val="Paragraphedeliste"/>
        <w:numPr>
          <w:ilvl w:val="0"/>
          <w:numId w:val="4"/>
        </w:numPr>
        <w:spacing w:line="25" w:lineRule="atLeast"/>
        <w:contextualSpacing w:val="0"/>
        <w:jc w:val="both"/>
      </w:pPr>
      <w:r>
        <w:t>Le rapport d’attribution (</w:t>
      </w:r>
      <w:r>
        <w:rPr>
          <w:b/>
        </w:rPr>
        <w:t>de même que la demande d’offres (DO) que vous avez utilisé</w:t>
      </w:r>
      <w:r w:rsidR="000E6460">
        <w:rPr>
          <w:b/>
        </w:rPr>
        <w:t>e</w:t>
      </w:r>
      <w:r>
        <w:t xml:space="preserve">) possède un code couleur. </w:t>
      </w:r>
    </w:p>
    <w:p w:rsidR="009943E9" w:rsidRDefault="004F50B8">
      <w:pPr>
        <w:pStyle w:val="Paragraphedeliste"/>
        <w:numPr>
          <w:ilvl w:val="0"/>
          <w:numId w:val="5"/>
        </w:numPr>
        <w:spacing w:line="25" w:lineRule="atLeast"/>
        <w:contextualSpacing w:val="0"/>
        <w:jc w:val="both"/>
      </w:pPr>
      <w:r>
        <w:t xml:space="preserve">le </w:t>
      </w:r>
      <w:r>
        <w:rPr>
          <w:b/>
        </w:rPr>
        <w:t>texte en noir</w:t>
      </w:r>
      <w:r>
        <w:t xml:space="preserve"> n’a pas v</w:t>
      </w:r>
      <w:r>
        <w:t>ocation à être modifié. Les clauses uniquement en noir sont des clauses types qui protègent juridiquement votre service.</w:t>
      </w:r>
    </w:p>
    <w:p w:rsidR="009943E9" w:rsidRDefault="004F50B8">
      <w:pPr>
        <w:pStyle w:val="Paragraphedeliste"/>
        <w:numPr>
          <w:ilvl w:val="0"/>
          <w:numId w:val="5"/>
        </w:numPr>
        <w:spacing w:line="25" w:lineRule="atLeast"/>
        <w:contextualSpacing w:val="0"/>
        <w:jc w:val="both"/>
      </w:pPr>
      <w:r>
        <w:t xml:space="preserve">le </w:t>
      </w:r>
      <w:r>
        <w:rPr>
          <w:b/>
          <w:color w:val="4F81BD" w:themeColor="accent1"/>
        </w:rPr>
        <w:t>texte en bleu</w:t>
      </w:r>
      <w:r>
        <w:rPr>
          <w:color w:val="4F81BD" w:themeColor="accent1"/>
        </w:rPr>
        <w:t xml:space="preserve"> </w:t>
      </w:r>
      <w:r>
        <w:t xml:space="preserve">permet d’adapter le marché aux circonstances. </w:t>
      </w:r>
    </w:p>
    <w:p w:rsidR="009943E9" w:rsidRDefault="004F50B8">
      <w:pPr>
        <w:pStyle w:val="Paragraphedeliste"/>
        <w:spacing w:line="25" w:lineRule="atLeast"/>
        <w:ind w:left="1080"/>
        <w:jc w:val="both"/>
      </w:pPr>
      <w:r>
        <w:t xml:space="preserve">Lorsqu’il comporte des </w:t>
      </w:r>
      <w:r>
        <w:rPr>
          <w:b/>
          <w:color w:val="4F81BD" w:themeColor="accent1"/>
        </w:rPr>
        <w:t>[…….]</w:t>
      </w:r>
      <w:r>
        <w:t xml:space="preserve"> cela signifie que vous devez compléter le </w:t>
      </w:r>
      <w:r>
        <w:t>texte.</w:t>
      </w:r>
    </w:p>
    <w:p w:rsidR="009943E9" w:rsidRDefault="004F50B8">
      <w:pPr>
        <w:pStyle w:val="Paragraphedeliste"/>
        <w:spacing w:line="25" w:lineRule="atLeast"/>
        <w:ind w:left="1077"/>
        <w:contextualSpacing w:val="0"/>
        <w:jc w:val="both"/>
      </w:pPr>
      <w:r>
        <w:t xml:space="preserve">Lorsqu’il ne comporte </w:t>
      </w:r>
      <w:r>
        <w:rPr>
          <w:u w:val="single"/>
        </w:rPr>
        <w:t>pas</w:t>
      </w:r>
      <w:r>
        <w:t xml:space="preserve"> de </w:t>
      </w:r>
      <w:r>
        <w:rPr>
          <w:b/>
          <w:color w:val="4F81BD" w:themeColor="accent1"/>
        </w:rPr>
        <w:t>[…….]</w:t>
      </w:r>
      <w:r>
        <w:t xml:space="preserve"> cela signifie que vous devez laisser la clause seulement si elle s’applique à votre marché.</w:t>
      </w:r>
    </w:p>
    <w:p w:rsidR="009943E9" w:rsidRDefault="004F50B8">
      <w:pPr>
        <w:pStyle w:val="Paragraphedeliste"/>
        <w:numPr>
          <w:ilvl w:val="0"/>
          <w:numId w:val="5"/>
        </w:numPr>
        <w:spacing w:line="25" w:lineRule="atLeast"/>
        <w:contextualSpacing w:val="0"/>
        <w:jc w:val="both"/>
        <w:rPr>
          <w:b/>
        </w:rPr>
      </w:pPr>
      <w:r>
        <w:t xml:space="preserve">le </w:t>
      </w:r>
      <w:r>
        <w:rPr>
          <w:b/>
          <w:color w:val="70AD47"/>
        </w:rPr>
        <w:t xml:space="preserve">texte en vert </w:t>
      </w:r>
      <w:r>
        <w:t xml:space="preserve">met en évidence des passages à compléter (signalé par des </w:t>
      </w:r>
      <w:r>
        <w:rPr>
          <w:color w:val="9BBB59" w:themeColor="accent3"/>
        </w:rPr>
        <w:t>XXXX</w:t>
      </w:r>
      <w:r>
        <w:t xml:space="preserve">), à adapter (par exemple des pluriels) ou </w:t>
      </w:r>
      <w:r>
        <w:t xml:space="preserve">lorsqu’un choix doit être effectué (signalé par des </w:t>
      </w:r>
      <w:r>
        <w:rPr>
          <w:color w:val="9BBB59" w:themeColor="accent3"/>
        </w:rPr>
        <w:t>///)</w:t>
      </w:r>
      <w:r>
        <w:t>.</w:t>
      </w:r>
    </w:p>
    <w:p w:rsidR="009943E9" w:rsidRDefault="004F50B8">
      <w:pPr>
        <w:pStyle w:val="Paragraphedeliste"/>
        <w:numPr>
          <w:ilvl w:val="0"/>
          <w:numId w:val="5"/>
        </w:numPr>
        <w:spacing w:line="25" w:lineRule="atLeast"/>
        <w:contextualSpacing w:val="0"/>
        <w:jc w:val="both"/>
        <w:rPr>
          <w:b/>
        </w:rPr>
      </w:pPr>
      <w:r>
        <w:t xml:space="preserve">La présence du </w:t>
      </w:r>
      <w:r>
        <w:rPr>
          <w:b/>
          <w:color w:val="4F81BD" w:themeColor="accent1"/>
          <w:bdr w:val="single" w:sz="4" w:space="0" w:color="auto"/>
          <w:shd w:val="clear" w:color="auto" w:fill="DAEEF3" w:themeFill="accent5" w:themeFillTint="33"/>
        </w:rPr>
        <w:t>OU</w:t>
      </w:r>
      <w:r>
        <w:rPr>
          <w:b/>
        </w:rPr>
        <w:t xml:space="preserve"> </w:t>
      </w:r>
      <w:r>
        <w:t>signifie que vous devez choisir entre deux (parties de) clauses possible</w:t>
      </w:r>
      <w:r w:rsidR="00803CE0">
        <w:t>s</w:t>
      </w:r>
      <w:r>
        <w:t>.</w:t>
      </w:r>
    </w:p>
    <w:p w:rsidR="009943E9" w:rsidRDefault="004F50B8">
      <w:pPr>
        <w:pStyle w:val="Paragraphedeliste"/>
        <w:numPr>
          <w:ilvl w:val="0"/>
          <w:numId w:val="5"/>
        </w:numPr>
        <w:spacing w:line="25" w:lineRule="atLeast"/>
        <w:contextualSpacing w:val="0"/>
        <w:jc w:val="both"/>
        <w:rPr>
          <w:b/>
        </w:rPr>
      </w:pPr>
      <w:r>
        <w:t xml:space="preserve">La présence de </w:t>
      </w:r>
      <w:r>
        <w:rPr>
          <w:b/>
          <w:color w:val="ED7D31"/>
          <w:bdr w:val="single" w:sz="4" w:space="0" w:color="auto"/>
          <w:shd w:val="clear" w:color="auto" w:fill="DBDBDB"/>
        </w:rPr>
        <w:t>Si</w:t>
      </w:r>
      <w:r>
        <w:t xml:space="preserve"> signifie que la (partie) de clause ne s’applique que dans un cas particulier spécifié.</w:t>
      </w:r>
    </w:p>
    <w:p w:rsidR="009943E9" w:rsidRDefault="004F50B8">
      <w:pPr>
        <w:spacing w:line="25" w:lineRule="atLeast"/>
        <w:ind w:left="720"/>
        <w:jc w:val="both"/>
        <w:rPr>
          <w:b/>
        </w:rPr>
      </w:pPr>
      <w:r>
        <w:rPr>
          <w:b/>
        </w:rPr>
        <w:t>P</w:t>
      </w:r>
      <w:r>
        <w:rPr>
          <w:b/>
        </w:rPr>
        <w:t>ensez par conséquent à nettoyer le document (notamment en supprimant le code couleur) avant de l’envoyer aux soumissionnaires.</w:t>
      </w:r>
    </w:p>
    <w:p w:rsidR="009943E9" w:rsidRDefault="004F50B8">
      <w:pPr>
        <w:pStyle w:val="Paragraphedeliste"/>
        <w:numPr>
          <w:ilvl w:val="0"/>
          <w:numId w:val="4"/>
        </w:numPr>
        <w:spacing w:after="120" w:line="25" w:lineRule="atLeast"/>
        <w:ind w:left="714" w:hanging="357"/>
        <w:contextualSpacing w:val="0"/>
        <w:jc w:val="both"/>
        <w:rPr>
          <w:rFonts w:cs="Times New Roman"/>
          <w:szCs w:val="20"/>
        </w:rPr>
      </w:pPr>
      <w:r>
        <w:rPr>
          <w:rFonts w:cs="Times New Roman"/>
        </w:rPr>
        <w:t>Le rapport d’attribution n’est pas un document autonome, s’il est transmis</w:t>
      </w:r>
      <w:r>
        <w:rPr>
          <w:rStyle w:val="Appelnotedebasdep"/>
          <w:rFonts w:cs="Times New Roman"/>
        </w:rPr>
        <w:footnoteReference w:id="1"/>
      </w:r>
      <w:r>
        <w:rPr>
          <w:rFonts w:cs="Times New Roman"/>
        </w:rPr>
        <w:t xml:space="preserve">, il doit être </w:t>
      </w:r>
      <w:r>
        <w:rPr>
          <w:rFonts w:cs="Times New Roman"/>
          <w:b/>
        </w:rPr>
        <w:t xml:space="preserve">accompagné </w:t>
      </w:r>
      <w:r>
        <w:rPr>
          <w:rFonts w:cs="Times New Roman"/>
        </w:rPr>
        <w:t xml:space="preserve">d’un « courrier </w:t>
      </w:r>
      <w:r>
        <w:rPr>
          <w:rFonts w:cs="Times New Roman"/>
        </w:rPr>
        <w:t xml:space="preserve">d’attribution » adressé à l’adjudicataire du marché et d’un « courrier de non attribution » </w:t>
      </w:r>
      <w:r w:rsidR="00AD0545">
        <w:rPr>
          <w:rFonts w:cs="Times New Roman"/>
        </w:rPr>
        <w:t xml:space="preserve">aux soumissionnaires </w:t>
      </w:r>
      <w:r>
        <w:rPr>
          <w:rFonts w:cs="Times New Roman"/>
        </w:rPr>
        <w:t>ayant remis une offre</w:t>
      </w:r>
      <w:r w:rsidR="00AD0545">
        <w:rPr>
          <w:rFonts w:cs="Times New Roman"/>
        </w:rPr>
        <w:t xml:space="preserve"> mais auxquels le marché n’a pas été attribué</w:t>
      </w:r>
      <w:r>
        <w:rPr>
          <w:rFonts w:cs="Times New Roman"/>
        </w:rPr>
        <w:t>.</w:t>
      </w:r>
    </w:p>
    <w:p w:rsidR="009943E9" w:rsidRDefault="004F50B8">
      <w:pPr>
        <w:pStyle w:val="Paragraphedeliste"/>
        <w:spacing w:after="120" w:line="25" w:lineRule="atLeast"/>
        <w:contextualSpacing w:val="0"/>
        <w:jc w:val="both"/>
        <w:rPr>
          <w:rFonts w:cs="Times New Roman"/>
        </w:rPr>
      </w:pPr>
      <w:r>
        <w:rPr>
          <w:rFonts w:cs="Times New Roman"/>
        </w:rPr>
        <w:t>Les</w:t>
      </w:r>
      <w:r>
        <w:rPr>
          <w:rFonts w:cs="Times New Roman"/>
        </w:rPr>
        <w:t xml:space="preserve"> courriers</w:t>
      </w:r>
      <w:r>
        <w:rPr>
          <w:rFonts w:cs="Times New Roman"/>
        </w:rPr>
        <w:t xml:space="preserve"> d’attribution qui peuven</w:t>
      </w:r>
      <w:r>
        <w:rPr>
          <w:rFonts w:cs="Times New Roman"/>
        </w:rPr>
        <w:t>t également être envoyés</w:t>
      </w:r>
      <w:r>
        <w:rPr>
          <w:rFonts w:cs="Times New Roman"/>
        </w:rPr>
        <w:t xml:space="preserve"> par mail son</w:t>
      </w:r>
      <w:r>
        <w:rPr>
          <w:rFonts w:cs="Times New Roman"/>
        </w:rPr>
        <w:t xml:space="preserve">t </w:t>
      </w:r>
      <w:r>
        <w:rPr>
          <w:rFonts w:cs="Times New Roman"/>
        </w:rPr>
        <w:t>eux</w:t>
      </w:r>
      <w:r>
        <w:rPr>
          <w:rFonts w:cs="Times New Roman"/>
        </w:rPr>
        <w:t xml:space="preserve"> obligatoires</w:t>
      </w:r>
      <w:r>
        <w:rPr>
          <w:rFonts w:cs="Times New Roman"/>
        </w:rPr>
        <w:t>, les</w:t>
      </w:r>
      <w:r>
        <w:rPr>
          <w:rFonts w:cs="Times New Roman"/>
        </w:rPr>
        <w:t xml:space="preserve"> soumission</w:t>
      </w:r>
      <w:r>
        <w:rPr>
          <w:rFonts w:cs="Times New Roman"/>
        </w:rPr>
        <w:t>naires</w:t>
      </w:r>
      <w:r>
        <w:rPr>
          <w:rFonts w:cs="Times New Roman"/>
        </w:rPr>
        <w:t xml:space="preserve"> devant </w:t>
      </w:r>
      <w:r>
        <w:rPr>
          <w:rFonts w:cs="Times New Roman"/>
        </w:rPr>
        <w:t>être mis</w:t>
      </w:r>
      <w:r>
        <w:rPr>
          <w:rFonts w:cs="Times New Roman"/>
        </w:rPr>
        <w:t xml:space="preserve"> au courant de l’issue du marché</w:t>
      </w:r>
      <w:r>
        <w:rPr>
          <w:rFonts w:cs="Times New Roman"/>
        </w:rPr>
        <w:t>. Aussi, vous devrez impérativement y annexer le document relatif aux voies de recours.</w:t>
      </w:r>
    </w:p>
    <w:p w:rsidR="009943E9" w:rsidRDefault="004F50B8">
      <w:pPr>
        <w:pStyle w:val="Paragraphedeliste"/>
        <w:spacing w:line="25" w:lineRule="atLeast"/>
        <w:contextualSpacing w:val="0"/>
        <w:jc w:val="both"/>
        <w:rPr>
          <w:rFonts w:cs="Times New Roman"/>
        </w:rPr>
      </w:pPr>
      <w:r>
        <w:rPr>
          <w:rFonts w:cs="Times New Roman"/>
        </w:rPr>
        <w:t>Il va néanmoins de soi que si, afin d’assurer la mise en concurrence, vous vous êtes contenté de comparer les prix</w:t>
      </w:r>
      <w:r>
        <w:rPr>
          <w:rFonts w:cs="Times New Roman"/>
        </w:rPr>
        <w:t>, par exemple, à partir de site internet, il n’y a pas lieu de prévenir ces soumissionnaires</w:t>
      </w:r>
      <w:r w:rsidR="000538F3">
        <w:rPr>
          <w:rFonts w:cs="Times New Roman"/>
        </w:rPr>
        <w:t xml:space="preserve"> (à l’exception de celui auprès duquel vous passerez commande)</w:t>
      </w:r>
      <w:r>
        <w:rPr>
          <w:rFonts w:cs="Times New Roman"/>
        </w:rPr>
        <w:t>.</w:t>
      </w:r>
    </w:p>
    <w:p w:rsidR="009943E9" w:rsidRDefault="004F50B8">
      <w:pPr>
        <w:pStyle w:val="Paragraphedeliste"/>
        <w:numPr>
          <w:ilvl w:val="0"/>
          <w:numId w:val="6"/>
        </w:numPr>
        <w:spacing w:line="25" w:lineRule="atLeast"/>
        <w:contextualSpacing w:val="0"/>
        <w:jc w:val="both"/>
      </w:pPr>
      <w:r>
        <w:t xml:space="preserve">Passons en revue quelques points de la </w:t>
      </w:r>
      <w:r>
        <w:rPr>
          <w:b/>
        </w:rPr>
        <w:t>structure</w:t>
      </w:r>
      <w:r>
        <w:t xml:space="preserve"> du modèle pour donner quelques </w:t>
      </w:r>
      <w:r>
        <w:rPr>
          <w:b/>
        </w:rPr>
        <w:t>explications</w:t>
      </w:r>
      <w:r>
        <w:t xml:space="preserve"> sur les éléments à compléter:</w:t>
      </w:r>
    </w:p>
    <w:p w:rsidR="009943E9" w:rsidRDefault="00AD0545">
      <w:pPr>
        <w:pStyle w:val="Paragraphedeliste"/>
        <w:numPr>
          <w:ilvl w:val="0"/>
          <w:numId w:val="7"/>
        </w:numPr>
        <w:spacing w:line="25" w:lineRule="atLeast"/>
        <w:ind w:left="1134" w:hanging="357"/>
        <w:contextualSpacing w:val="0"/>
        <w:jc w:val="both"/>
        <w:rPr>
          <w:rFonts w:cs="Times New Roman"/>
          <w:szCs w:val="20"/>
        </w:rPr>
      </w:pPr>
      <w:r>
        <w:rPr>
          <w:rFonts w:cs="Times New Roman"/>
          <w:szCs w:val="20"/>
        </w:rPr>
        <w:t>Le premier</w:t>
      </w:r>
      <w:r w:rsidR="004F50B8">
        <w:rPr>
          <w:rFonts w:cs="Times New Roman"/>
          <w:szCs w:val="20"/>
        </w:rPr>
        <w:t xml:space="preserve"> choix</w:t>
      </w:r>
      <w:r>
        <w:rPr>
          <w:rFonts w:cs="Times New Roman"/>
          <w:szCs w:val="20"/>
        </w:rPr>
        <w:t xml:space="preserve"> à effectuer</w:t>
      </w:r>
      <w:r w:rsidR="004F50B8">
        <w:rPr>
          <w:rFonts w:cs="Times New Roman"/>
          <w:szCs w:val="20"/>
        </w:rPr>
        <w:t xml:space="preserve"> dépend de la manière dont vous avez </w:t>
      </w:r>
      <w:r w:rsidR="004F50B8">
        <w:rPr>
          <w:rFonts w:cs="Times New Roman"/>
          <w:b/>
          <w:szCs w:val="20"/>
        </w:rPr>
        <w:t>mis en concurrence</w:t>
      </w:r>
      <w:r w:rsidR="004F50B8">
        <w:rPr>
          <w:rFonts w:cs="Times New Roman"/>
          <w:szCs w:val="20"/>
        </w:rPr>
        <w:t xml:space="preserve"> les soumissionnaires. Soit en leur e</w:t>
      </w:r>
      <w:r w:rsidR="004F50B8">
        <w:rPr>
          <w:rFonts w:cs="Times New Roman"/>
          <w:szCs w:val="20"/>
        </w:rPr>
        <w:t xml:space="preserve">nvoyant une DO, soit en consultant (sans les avertir) </w:t>
      </w:r>
      <w:r w:rsidR="004F50B8">
        <w:rPr>
          <w:rFonts w:cs="Times New Roman"/>
          <w:szCs w:val="20"/>
        </w:rPr>
        <w:lastRenderedPageBreak/>
        <w:t>par exemple des sites internet, en imprimant les pages consultées et en les joignant dans le dossier administratif.</w:t>
      </w:r>
    </w:p>
    <w:p w:rsidR="009943E9" w:rsidRDefault="004F50B8">
      <w:pPr>
        <w:pStyle w:val="Paragraphedeliste"/>
        <w:numPr>
          <w:ilvl w:val="0"/>
          <w:numId w:val="7"/>
        </w:numPr>
        <w:spacing w:after="120" w:line="25" w:lineRule="atLeast"/>
        <w:ind w:left="1134" w:hanging="357"/>
        <w:contextualSpacing w:val="0"/>
        <w:jc w:val="both"/>
        <w:rPr>
          <w:rFonts w:cs="Times New Roman"/>
          <w:szCs w:val="20"/>
        </w:rPr>
      </w:pPr>
      <w:r>
        <w:rPr>
          <w:rFonts w:cs="Times New Roman"/>
          <w:szCs w:val="20"/>
        </w:rPr>
        <w:t xml:space="preserve">Le point suivant du rapport concerne la </w:t>
      </w:r>
      <w:r>
        <w:rPr>
          <w:rFonts w:cs="Times New Roman"/>
          <w:b/>
          <w:szCs w:val="20"/>
        </w:rPr>
        <w:t>conformité</w:t>
      </w:r>
      <w:r>
        <w:rPr>
          <w:rFonts w:cs="Times New Roman"/>
          <w:szCs w:val="20"/>
        </w:rPr>
        <w:t xml:space="preserve"> des offres reçues par rapport aux e</w:t>
      </w:r>
      <w:r>
        <w:rPr>
          <w:rFonts w:cs="Times New Roman"/>
          <w:szCs w:val="20"/>
        </w:rPr>
        <w:t>xigences que vous aviez fixées dans votre DO. Trois cas sont possibles :</w:t>
      </w:r>
    </w:p>
    <w:p w:rsidR="009943E9" w:rsidRDefault="004F50B8">
      <w:pPr>
        <w:pStyle w:val="Paragraphedeliste"/>
        <w:numPr>
          <w:ilvl w:val="0"/>
          <w:numId w:val="8"/>
        </w:numPr>
        <w:spacing w:after="120" w:line="25" w:lineRule="atLeast"/>
        <w:ind w:hanging="357"/>
        <w:contextualSpacing w:val="0"/>
        <w:jc w:val="both"/>
        <w:rPr>
          <w:rFonts w:cs="Times New Roman"/>
          <w:szCs w:val="20"/>
        </w:rPr>
      </w:pPr>
      <w:r>
        <w:rPr>
          <w:rFonts w:cs="Times New Roman"/>
          <w:szCs w:val="20"/>
        </w:rPr>
        <w:t>Soit l’ensemble des soumissionnaires ont répondu à vos exigences et ce passage n’a pas lieu d’être ;</w:t>
      </w:r>
    </w:p>
    <w:p w:rsidR="009943E9" w:rsidRDefault="004F50B8">
      <w:pPr>
        <w:pStyle w:val="Paragraphedeliste"/>
        <w:numPr>
          <w:ilvl w:val="0"/>
          <w:numId w:val="8"/>
        </w:numPr>
        <w:spacing w:after="120" w:line="25" w:lineRule="atLeast"/>
        <w:ind w:hanging="357"/>
        <w:contextualSpacing w:val="0"/>
        <w:jc w:val="both"/>
        <w:rPr>
          <w:rFonts w:cs="Times New Roman"/>
          <w:szCs w:val="20"/>
        </w:rPr>
      </w:pPr>
      <w:r>
        <w:rPr>
          <w:rFonts w:cs="Times New Roman"/>
          <w:szCs w:val="20"/>
        </w:rPr>
        <w:t>Soit un ou plusieurs soumissionnaires n’ont pas répondu à vos exigences et vous en</w:t>
      </w:r>
      <w:r>
        <w:rPr>
          <w:rFonts w:cs="Times New Roman"/>
          <w:szCs w:val="20"/>
        </w:rPr>
        <w:t xml:space="preserve"> êtes restés là, autrement dit, vous ne l’avez ou ne les avez pas réinterrogé</w:t>
      </w:r>
      <w:r w:rsidR="00AD0545">
        <w:rPr>
          <w:rFonts w:cs="Times New Roman"/>
          <w:szCs w:val="20"/>
        </w:rPr>
        <w:t>(s)</w:t>
      </w:r>
      <w:r>
        <w:rPr>
          <w:rFonts w:cs="Times New Roman"/>
          <w:szCs w:val="20"/>
        </w:rPr>
        <w:t> ;</w:t>
      </w:r>
    </w:p>
    <w:p w:rsidR="009943E9" w:rsidRDefault="004F50B8">
      <w:pPr>
        <w:pStyle w:val="Paragraphedeliste"/>
        <w:numPr>
          <w:ilvl w:val="0"/>
          <w:numId w:val="8"/>
        </w:numPr>
        <w:spacing w:line="25" w:lineRule="atLeast"/>
        <w:ind w:left="1497" w:hanging="357"/>
        <w:contextualSpacing w:val="0"/>
        <w:jc w:val="both"/>
        <w:rPr>
          <w:rFonts w:cs="Times New Roman"/>
          <w:szCs w:val="20"/>
        </w:rPr>
      </w:pPr>
      <w:r>
        <w:rPr>
          <w:rFonts w:cs="Times New Roman"/>
          <w:szCs w:val="20"/>
        </w:rPr>
        <w:t>Soit</w:t>
      </w:r>
      <w:r>
        <w:t xml:space="preserve"> </w:t>
      </w:r>
      <w:r>
        <w:rPr>
          <w:rFonts w:cs="Times New Roman"/>
          <w:szCs w:val="20"/>
        </w:rPr>
        <w:t>un ou plusieurs soumissionnaires n’ont pas répondu à vos exigences et vous les avez réinterrogé</w:t>
      </w:r>
      <w:r w:rsidR="00AD0545">
        <w:rPr>
          <w:rFonts w:cs="Times New Roman"/>
          <w:szCs w:val="20"/>
        </w:rPr>
        <w:t>s</w:t>
      </w:r>
      <w:r>
        <w:rPr>
          <w:rFonts w:cs="Times New Roman"/>
          <w:szCs w:val="20"/>
        </w:rPr>
        <w:t>. Dans ce cas, i</w:t>
      </w:r>
      <w:r w:rsidR="00AD0545">
        <w:rPr>
          <w:rFonts w:cs="Times New Roman"/>
          <w:szCs w:val="20"/>
        </w:rPr>
        <w:t xml:space="preserve">l y a également lieu d’indiquer </w:t>
      </w:r>
      <w:r>
        <w:rPr>
          <w:rFonts w:cs="Times New Roman"/>
          <w:szCs w:val="20"/>
        </w:rPr>
        <w:t>quelle en est l’issue.</w:t>
      </w:r>
    </w:p>
    <w:p w:rsidR="009943E9" w:rsidRDefault="004F50B8">
      <w:pPr>
        <w:pStyle w:val="Paragraphedeliste"/>
        <w:numPr>
          <w:ilvl w:val="0"/>
          <w:numId w:val="9"/>
        </w:numPr>
        <w:spacing w:after="120" w:line="25" w:lineRule="atLeast"/>
        <w:ind w:left="1134" w:hanging="357"/>
        <w:contextualSpacing w:val="0"/>
        <w:jc w:val="both"/>
        <w:rPr>
          <w:rFonts w:cs="Times New Roman"/>
          <w:szCs w:val="20"/>
        </w:rPr>
      </w:pPr>
      <w:r>
        <w:rPr>
          <w:rFonts w:cs="Times New Roman"/>
          <w:szCs w:val="20"/>
        </w:rPr>
        <w:t xml:space="preserve">En </w:t>
      </w:r>
      <w:r>
        <w:rPr>
          <w:rFonts w:cs="Times New Roman"/>
          <w:szCs w:val="20"/>
        </w:rPr>
        <w:t>cas de négociation, il vous appartient d’indiquer le déroulement des négociations dans le rapport d’attribution et de conserver les traces de ces négociations dans le dossier administratif. En tout état de cause, en fin de négociation, vous devrez recevoir</w:t>
      </w:r>
      <w:r>
        <w:rPr>
          <w:rFonts w:cs="Times New Roman"/>
          <w:szCs w:val="20"/>
        </w:rPr>
        <w:t xml:space="preserve"> une offre finale de chacun des soumissionnaires.</w:t>
      </w:r>
    </w:p>
    <w:p w:rsidR="009943E9" w:rsidRDefault="004F50B8">
      <w:pPr>
        <w:pStyle w:val="Paragraphedeliste"/>
        <w:numPr>
          <w:ilvl w:val="0"/>
          <w:numId w:val="9"/>
        </w:numPr>
        <w:spacing w:after="120" w:line="25" w:lineRule="atLeast"/>
        <w:ind w:left="1134" w:hanging="357"/>
        <w:contextualSpacing w:val="0"/>
        <w:jc w:val="both"/>
        <w:rPr>
          <w:rFonts w:cs="Times New Roman"/>
          <w:szCs w:val="20"/>
        </w:rPr>
      </w:pPr>
      <w:r>
        <w:rPr>
          <w:rFonts w:cs="Times New Roman"/>
          <w:szCs w:val="20"/>
        </w:rPr>
        <w:t xml:space="preserve">Une fois la conformité des offres vérifiées, il vous appartient de les </w:t>
      </w:r>
      <w:r>
        <w:rPr>
          <w:rFonts w:cs="Times New Roman"/>
          <w:b/>
          <w:szCs w:val="20"/>
        </w:rPr>
        <w:t>comparer</w:t>
      </w:r>
      <w:r>
        <w:rPr>
          <w:rFonts w:cs="Times New Roman"/>
          <w:szCs w:val="20"/>
        </w:rPr>
        <w:t xml:space="preserve"> entre elles afin de déterminer laquelle est la plus avantageuse au regard des critères fixés dans la DO ou, si rien avait été </w:t>
      </w:r>
      <w:r>
        <w:rPr>
          <w:rFonts w:cs="Times New Roman"/>
          <w:szCs w:val="20"/>
        </w:rPr>
        <w:t>précisé, du prix TVAC.</w:t>
      </w:r>
    </w:p>
    <w:p w:rsidR="009943E9" w:rsidRDefault="000538F3">
      <w:pPr>
        <w:pStyle w:val="Paragraphedeliste"/>
        <w:spacing w:after="120" w:line="25" w:lineRule="atLeast"/>
        <w:ind w:left="1134"/>
        <w:contextualSpacing w:val="0"/>
        <w:jc w:val="both"/>
        <w:rPr>
          <w:rFonts w:cs="Times New Roman"/>
          <w:szCs w:val="20"/>
        </w:rPr>
      </w:pPr>
      <w:r>
        <w:rPr>
          <w:rFonts w:cs="Times New Roman"/>
          <w:szCs w:val="20"/>
        </w:rPr>
        <w:t xml:space="preserve">Pour </w:t>
      </w:r>
      <w:r w:rsidR="004F50B8">
        <w:rPr>
          <w:rFonts w:cs="Times New Roman"/>
          <w:szCs w:val="20"/>
        </w:rPr>
        <w:t xml:space="preserve">comparer </w:t>
      </w:r>
      <w:r>
        <w:rPr>
          <w:rFonts w:cs="Times New Roman"/>
          <w:szCs w:val="20"/>
        </w:rPr>
        <w:t xml:space="preserve">les offres </w:t>
      </w:r>
      <w:r w:rsidR="004F50B8">
        <w:rPr>
          <w:rFonts w:cs="Times New Roman"/>
          <w:szCs w:val="20"/>
        </w:rPr>
        <w:t>entre elles, vous devez soit reprendre la méthode de calcul ou d’évaluation que vous aviez fixé</w:t>
      </w:r>
      <w:r>
        <w:rPr>
          <w:rFonts w:cs="Times New Roman"/>
          <w:szCs w:val="20"/>
        </w:rPr>
        <w:t>e</w:t>
      </w:r>
      <w:r w:rsidR="004F50B8">
        <w:rPr>
          <w:rFonts w:cs="Times New Roman"/>
          <w:szCs w:val="20"/>
        </w:rPr>
        <w:t xml:space="preserve"> dans la DO, soit en détermine</w:t>
      </w:r>
      <w:r w:rsidR="00AD0545">
        <w:rPr>
          <w:rFonts w:cs="Times New Roman"/>
          <w:szCs w:val="20"/>
        </w:rPr>
        <w:t>r</w:t>
      </w:r>
      <w:r w:rsidR="004F50B8">
        <w:rPr>
          <w:rFonts w:cs="Times New Roman"/>
          <w:szCs w:val="20"/>
        </w:rPr>
        <w:t xml:space="preserve"> une qui devra nécessairement maintenir l’égalité entre les soumissionnaires et donc être </w:t>
      </w:r>
      <w:r w:rsidR="004F50B8">
        <w:rPr>
          <w:rFonts w:cs="Times New Roman"/>
          <w:szCs w:val="20"/>
        </w:rPr>
        <w:t>proportionnelle</w:t>
      </w:r>
      <w:r w:rsidR="004F50B8">
        <w:rPr>
          <w:rFonts w:cs="Times New Roman"/>
          <w:szCs w:val="20"/>
        </w:rPr>
        <w:t xml:space="preserve">. </w:t>
      </w:r>
    </w:p>
    <w:p w:rsidR="009943E9" w:rsidRDefault="004F50B8">
      <w:pPr>
        <w:spacing w:line="25" w:lineRule="atLeast"/>
        <w:ind w:left="1134"/>
        <w:jc w:val="both"/>
        <w:rPr>
          <w:rFonts w:cs="Times New Roman"/>
          <w:szCs w:val="20"/>
        </w:rPr>
      </w:pPr>
      <w:r>
        <w:rPr>
          <w:rFonts w:cs="Times New Roman"/>
          <w:szCs w:val="20"/>
        </w:rPr>
        <w:t>Le but est, à partir d’une argumentation objective, d’attribuer des points à chaque offre, au regard de chaque critère d’attribution pour, au final, obtenir un total qui permettra d’attribuer le marché au soumissionnaire ayant remis la m</w:t>
      </w:r>
      <w:r>
        <w:rPr>
          <w:rFonts w:cs="Times New Roman"/>
          <w:szCs w:val="20"/>
        </w:rPr>
        <w:t>eilleure offre</w:t>
      </w:r>
      <w:r w:rsidR="00AD0545">
        <w:rPr>
          <w:rFonts w:cs="Times New Roman"/>
          <w:szCs w:val="20"/>
        </w:rPr>
        <w:t>.</w:t>
      </w:r>
    </w:p>
    <w:p w:rsidR="009943E9" w:rsidRDefault="004F50B8">
      <w:pPr>
        <w:spacing w:line="25" w:lineRule="atLeast"/>
        <w:ind w:left="1134"/>
        <w:jc w:val="both"/>
        <w:rPr>
          <w:rFonts w:cs="Times New Roman"/>
          <w:b/>
          <w:szCs w:val="20"/>
        </w:rPr>
      </w:pPr>
      <w:r>
        <w:rPr>
          <w:rFonts w:cs="Times New Roman"/>
          <w:szCs w:val="20"/>
        </w:rPr>
        <w:t xml:space="preserve">Si </w:t>
      </w:r>
      <w:r>
        <w:rPr>
          <w:rFonts w:cs="Times New Roman"/>
          <w:b/>
          <w:szCs w:val="20"/>
        </w:rPr>
        <w:t>une seule offre</w:t>
      </w:r>
      <w:r>
        <w:rPr>
          <w:rFonts w:cs="Times New Roman"/>
          <w:szCs w:val="20"/>
        </w:rPr>
        <w:t xml:space="preserve"> vous est parvenue, il vous suffira d’indiquer pourquoi l’offre est intéressant</w:t>
      </w:r>
      <w:r w:rsidR="00AD0545">
        <w:rPr>
          <w:rFonts w:cs="Times New Roman"/>
          <w:szCs w:val="20"/>
        </w:rPr>
        <w:t>e</w:t>
      </w:r>
      <w:r>
        <w:rPr>
          <w:rFonts w:cs="Times New Roman"/>
          <w:szCs w:val="20"/>
        </w:rPr>
        <w:t xml:space="preserve"> au regard de chacun des critères d’attribution. Par exemple, si le seul critère est le prix, vous pourriez justifier l’intérêt de l’offre par l</w:t>
      </w:r>
      <w:r>
        <w:rPr>
          <w:rFonts w:cs="Times New Roman"/>
          <w:szCs w:val="20"/>
        </w:rPr>
        <w:t>e fait qu’elle est conforme à votre estimation du montant du marché ou encore par le fait qu’elle respecte le montant maximum que vous auriez fixé dans la DO</w:t>
      </w:r>
      <w:r w:rsidR="00AD0545">
        <w:rPr>
          <w:rFonts w:cs="Times New Roman"/>
          <w:szCs w:val="20"/>
        </w:rPr>
        <w:t>.</w:t>
      </w:r>
    </w:p>
    <w:p w:rsidR="009943E9" w:rsidRPr="00AD0545" w:rsidRDefault="004F50B8" w:rsidP="00AD0545">
      <w:pPr>
        <w:pStyle w:val="Paragraphedeliste"/>
        <w:numPr>
          <w:ilvl w:val="0"/>
          <w:numId w:val="9"/>
        </w:numPr>
        <w:spacing w:line="25" w:lineRule="atLeast"/>
        <w:ind w:left="1134"/>
        <w:jc w:val="both"/>
        <w:rPr>
          <w:rFonts w:cs="Times New Roman"/>
          <w:b/>
          <w:szCs w:val="20"/>
        </w:rPr>
      </w:pPr>
      <w:r>
        <w:rPr>
          <w:rFonts w:cs="Times New Roman"/>
          <w:szCs w:val="20"/>
        </w:rPr>
        <w:t>Le dernier aspect du rapport consiste, en to</w:t>
      </w:r>
      <w:r w:rsidR="000538F3">
        <w:rPr>
          <w:rFonts w:cs="Times New Roman"/>
          <w:szCs w:val="20"/>
        </w:rPr>
        <w:t>ute logique, en l’attribution à proprement parler</w:t>
      </w:r>
      <w:r>
        <w:rPr>
          <w:rFonts w:cs="Times New Roman"/>
          <w:szCs w:val="20"/>
        </w:rPr>
        <w:t>. Autr</w:t>
      </w:r>
      <w:r>
        <w:rPr>
          <w:rFonts w:cs="Times New Roman"/>
          <w:szCs w:val="20"/>
        </w:rPr>
        <w:t>ement dit, vous devez attribuer selon le ou les prix remis en tenant compte du mode de détermination des prix (prix global, bordereau de prix ou remboursement) tel qu’il avait été fixé dans la DO.</w:t>
      </w:r>
    </w:p>
    <w:p w:rsidR="00AD0545" w:rsidRPr="00AD0545" w:rsidRDefault="00AD0545" w:rsidP="00AD0545">
      <w:pPr>
        <w:pStyle w:val="Paragraphedeliste"/>
        <w:spacing w:line="25" w:lineRule="atLeast"/>
        <w:ind w:left="1134"/>
        <w:jc w:val="both"/>
        <w:rPr>
          <w:rFonts w:cs="Times New Roman"/>
          <w:b/>
          <w:szCs w:val="20"/>
        </w:rPr>
      </w:pPr>
    </w:p>
    <w:p w:rsidR="009943E9" w:rsidRDefault="004F50B8">
      <w:pPr>
        <w:numPr>
          <w:ilvl w:val="0"/>
          <w:numId w:val="3"/>
        </w:numPr>
        <w:spacing w:line="25" w:lineRule="atLeast"/>
        <w:jc w:val="both"/>
        <w:rPr>
          <w:rFonts w:cs="Times New Roman"/>
          <w:b/>
          <w:szCs w:val="20"/>
        </w:rPr>
      </w:pPr>
      <w:r>
        <w:rPr>
          <w:rFonts w:cs="Times New Roman"/>
          <w:b/>
          <w:szCs w:val="20"/>
        </w:rPr>
        <w:t>Foire aux questions (FAQ) :</w:t>
      </w:r>
    </w:p>
    <w:p w:rsidR="009943E9" w:rsidRDefault="004F50B8">
      <w:pPr>
        <w:pStyle w:val="Paragraphedeliste"/>
        <w:numPr>
          <w:ilvl w:val="0"/>
          <w:numId w:val="2"/>
        </w:numPr>
        <w:spacing w:line="25" w:lineRule="atLeast"/>
        <w:contextualSpacing w:val="0"/>
        <w:jc w:val="both"/>
        <w:rPr>
          <w:color w:val="984806" w:themeColor="accent6" w:themeShade="80"/>
        </w:rPr>
      </w:pPr>
      <w:r>
        <w:rPr>
          <w:color w:val="984806" w:themeColor="accent6" w:themeShade="80"/>
        </w:rPr>
        <w:t>Comment comparer les offre</w:t>
      </w:r>
      <w:r>
        <w:rPr>
          <w:color w:val="984806" w:themeColor="accent6" w:themeShade="80"/>
        </w:rPr>
        <w:t xml:space="preserve">s au niveau du critère prix ? </w:t>
      </w:r>
    </w:p>
    <w:p w:rsidR="009943E9" w:rsidRDefault="004F50B8">
      <w:pPr>
        <w:jc w:val="both"/>
      </w:pPr>
      <w:r>
        <w:t xml:space="preserve">Les offres doivent obligatoirement être comparée </w:t>
      </w:r>
      <w:r>
        <w:rPr>
          <w:b/>
        </w:rPr>
        <w:t>TVAC</w:t>
      </w:r>
      <w:r>
        <w:t xml:space="preserve"> (et non HTVA). Aussi, c’est au soumissionnaire qu’il appartient de déterminer le taux de TVA applicable et de vous remettre son prix en fonction de ce dernier.</w:t>
      </w:r>
    </w:p>
    <w:p w:rsidR="009943E9" w:rsidRDefault="004F50B8">
      <w:pPr>
        <w:jc w:val="both"/>
      </w:pPr>
      <w:r>
        <w:t xml:space="preserve">Lorsqu’un </w:t>
      </w:r>
      <w:r>
        <w:rPr>
          <w:b/>
        </w:rPr>
        <w:t>s</w:t>
      </w:r>
      <w:r>
        <w:rPr>
          <w:b/>
        </w:rPr>
        <w:t>oumissionnaire étranger</w:t>
      </w:r>
      <w:r>
        <w:t xml:space="preserve"> remet une offre, vous devrez ajouter la TVA belge applicable à son prix HTVA. En effet, pour autant qu’il s’agisse d’une prestation ou d’une livraison </w:t>
      </w:r>
      <w:r>
        <w:lastRenderedPageBreak/>
        <w:t>intracommunautaire, la Communauté française se charge de directement payer la TVA</w:t>
      </w:r>
      <w:r>
        <w:t xml:space="preserve"> au SPF Finances. Il est donc important de toujours demander aux soumissionnaires le prix HTVA et TVAC.</w:t>
      </w:r>
    </w:p>
    <w:p w:rsidR="009943E9" w:rsidRDefault="00AD0545">
      <w:pPr>
        <w:jc w:val="both"/>
      </w:pPr>
      <w:r>
        <w:rPr>
          <w:u w:val="single"/>
        </w:rPr>
        <w:t>Il est dans ce cas recommandé d’</w:t>
      </w:r>
      <w:r w:rsidR="004F50B8">
        <w:rPr>
          <w:u w:val="single"/>
        </w:rPr>
        <w:t>ajout</w:t>
      </w:r>
      <w:r>
        <w:rPr>
          <w:u w:val="single"/>
        </w:rPr>
        <w:t>er le</w:t>
      </w:r>
      <w:r w:rsidR="004F50B8">
        <w:rPr>
          <w:u w:val="single"/>
        </w:rPr>
        <w:t xml:space="preserve"> considérant suivant</w:t>
      </w:r>
      <w:r w:rsidR="004F50B8">
        <w:t> :</w:t>
      </w:r>
    </w:p>
    <w:p w:rsidR="009943E9" w:rsidRDefault="004F50B8">
      <w:pPr>
        <w:jc w:val="both"/>
      </w:pPr>
      <w:r>
        <w:t>« </w:t>
      </w:r>
      <w:r>
        <w:rPr>
          <w:i/>
        </w:rPr>
        <w:t xml:space="preserve">Considérant qu’il s’agit d’une </w:t>
      </w:r>
      <w:r>
        <w:rPr>
          <w:i/>
          <w:color w:val="70AD47"/>
        </w:rPr>
        <w:t xml:space="preserve">livraison/prestation </w:t>
      </w:r>
      <w:r>
        <w:rPr>
          <w:i/>
        </w:rPr>
        <w:t xml:space="preserve">intracommunautaire, le pouvoir </w:t>
      </w:r>
      <w:r>
        <w:rPr>
          <w:i/>
        </w:rPr>
        <w:t>adjudicateur a ajouté au</w:t>
      </w:r>
      <w:r>
        <w:rPr>
          <w:i/>
          <w:color w:val="70AD47"/>
        </w:rPr>
        <w:t xml:space="preserve">(x) </w:t>
      </w:r>
      <w:r>
        <w:rPr>
          <w:i/>
        </w:rPr>
        <w:t xml:space="preserve">prix HTVA du soumissionnaire </w:t>
      </w:r>
      <w:r>
        <w:rPr>
          <w:rFonts w:cs="Calibri"/>
          <w:i/>
          <w:color w:val="4472C4"/>
        </w:rPr>
        <w:t>[Dénomination]</w:t>
      </w:r>
      <w:r>
        <w:rPr>
          <w:i/>
        </w:rPr>
        <w:t xml:space="preserve">, de nationalité </w:t>
      </w:r>
      <w:r>
        <w:rPr>
          <w:i/>
          <w:color w:val="4F81BD" w:themeColor="accent1"/>
        </w:rPr>
        <w:t>[Nationalité]</w:t>
      </w:r>
      <w:r>
        <w:rPr>
          <w:i/>
        </w:rPr>
        <w:t xml:space="preserve">, le taux de TVA belge applicable, à savoir </w:t>
      </w:r>
      <w:r>
        <w:rPr>
          <w:i/>
          <w:color w:val="70AD47"/>
        </w:rPr>
        <w:t xml:space="preserve">XXXX </w:t>
      </w:r>
      <w:r>
        <w:rPr>
          <w:i/>
        </w:rPr>
        <w:t>%</w:t>
      </w:r>
      <w:r>
        <w:t> »</w:t>
      </w:r>
    </w:p>
    <w:p w:rsidR="009943E9" w:rsidRDefault="004F50B8">
      <w:pPr>
        <w:jc w:val="both"/>
      </w:pPr>
      <w:r>
        <w:t>Plus d’informations concernant la TVA et la TVA communautaire peuvent être obtenues auprès de la Cellu</w:t>
      </w:r>
      <w:r>
        <w:t>le TVA de la Direction gén</w:t>
      </w:r>
      <w:r w:rsidR="00AD0545">
        <w:t>érale du Budget et des Finances du Ministère.</w:t>
      </w:r>
    </w:p>
    <w:p w:rsidR="009943E9" w:rsidRDefault="004F50B8">
      <w:pPr>
        <w:pStyle w:val="Paragraphedeliste"/>
        <w:numPr>
          <w:ilvl w:val="0"/>
          <w:numId w:val="2"/>
        </w:numPr>
      </w:pPr>
      <w:r>
        <w:rPr>
          <w:color w:val="984806" w:themeColor="accent6" w:themeShade="80"/>
        </w:rPr>
        <w:t>Que faire si je ne souhaite plus attribuer le marché ?</w:t>
      </w:r>
    </w:p>
    <w:p w:rsidR="009943E9" w:rsidRDefault="004F50B8">
      <w:pPr>
        <w:jc w:val="both"/>
      </w:pPr>
      <w:r>
        <w:t xml:space="preserve">Dans ce cas, il vous appartient de rédiger une </w:t>
      </w:r>
      <w:r>
        <w:rPr>
          <w:b/>
        </w:rPr>
        <w:t>décision motivée de non attribution</w:t>
      </w:r>
      <w:r>
        <w:t xml:space="preserve"> que vous conserverez dans votre dossier administratif. Il n</w:t>
      </w:r>
      <w:r>
        <w:t>’est pas nécessaire de la communiquer aux soumissionnaires ayant remis une offre. Il vous appartient néanmoins de les avertir de votre décision par simple courrier ou par mail.</w:t>
      </w:r>
    </w:p>
    <w:p w:rsidR="009943E9" w:rsidRDefault="009943E9"/>
    <w:sectPr w:rsidR="009943E9" w:rsidSect="009943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0B8" w:rsidRDefault="004F50B8">
      <w:pPr>
        <w:spacing w:after="0" w:line="240" w:lineRule="auto"/>
      </w:pPr>
      <w:r>
        <w:separator/>
      </w:r>
    </w:p>
  </w:endnote>
  <w:endnote w:type="continuationSeparator" w:id="0">
    <w:p w:rsidR="004F50B8" w:rsidRDefault="004F5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0B8" w:rsidRDefault="004F50B8">
      <w:pPr>
        <w:spacing w:after="0" w:line="240" w:lineRule="auto"/>
      </w:pPr>
      <w:r>
        <w:separator/>
      </w:r>
    </w:p>
  </w:footnote>
  <w:footnote w:type="continuationSeparator" w:id="0">
    <w:p w:rsidR="004F50B8" w:rsidRDefault="004F50B8">
      <w:pPr>
        <w:spacing w:after="0" w:line="240" w:lineRule="auto"/>
      </w:pPr>
      <w:r>
        <w:continuationSeparator/>
      </w:r>
    </w:p>
  </w:footnote>
  <w:footnote w:id="1">
    <w:p w:rsidR="009943E9" w:rsidRDefault="004F50B8" w:rsidP="000538F3">
      <w:pPr>
        <w:pStyle w:val="Notedebasdepage"/>
        <w:ind w:left="142" w:hanging="142"/>
        <w:jc w:val="both"/>
      </w:pPr>
      <w:r>
        <w:rPr>
          <w:rStyle w:val="Appelnotedebasdep"/>
        </w:rPr>
        <w:footnoteRef/>
      </w:r>
      <w:r>
        <w:t xml:space="preserve"> </w:t>
      </w:r>
      <w:r>
        <w:rPr>
          <w:sz w:val="18"/>
          <w:szCs w:val="18"/>
        </w:rPr>
        <w:t>Le pou</w:t>
      </w:r>
      <w:r>
        <w:rPr>
          <w:sz w:val="18"/>
          <w:szCs w:val="18"/>
        </w:rPr>
        <w:t>voir adjudicateur peut se contenter d’informer les soumissionnaires sans leur transmettre le rapport d’attribution. Toutefois, le pouvoir adjudicateur a l’obligation d’en rédiger un, de le conserver dans son dossier administratif et de le transmettre aux s</w:t>
      </w:r>
      <w:r>
        <w:rPr>
          <w:sz w:val="18"/>
          <w:szCs w:val="18"/>
        </w:rPr>
        <w:t>oumissionnaires qui en feraient la demande.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3307"/>
    <w:multiLevelType w:val="hybridMultilevel"/>
    <w:tmpl w:val="A06CF8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05F346F"/>
    <w:multiLevelType w:val="hybridMultilevel"/>
    <w:tmpl w:val="EE2CAF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6B73EBB"/>
    <w:multiLevelType w:val="hybridMultilevel"/>
    <w:tmpl w:val="582AB6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761503E"/>
    <w:multiLevelType w:val="hybridMultilevel"/>
    <w:tmpl w:val="A4E677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9F71808"/>
    <w:multiLevelType w:val="hybridMultilevel"/>
    <w:tmpl w:val="6792DBC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5A1F2A02"/>
    <w:multiLevelType w:val="hybridMultilevel"/>
    <w:tmpl w:val="064C0C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D5554C0"/>
    <w:multiLevelType w:val="hybridMultilevel"/>
    <w:tmpl w:val="0A48EAA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65A943D6"/>
    <w:multiLevelType w:val="hybridMultilevel"/>
    <w:tmpl w:val="7B96B65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AA2150C"/>
    <w:multiLevelType w:val="hybridMultilevel"/>
    <w:tmpl w:val="678E45A6"/>
    <w:lvl w:ilvl="0" w:tplc="69C05EC8">
      <w:start w:val="1"/>
      <w:numFmt w:val="bullet"/>
      <w:lvlText w:val="-"/>
      <w:lvlJc w:val="left"/>
      <w:pPr>
        <w:ind w:left="1494" w:hanging="360"/>
      </w:pPr>
      <w:rPr>
        <w:rFonts w:ascii="Calibri" w:eastAsiaTheme="minorHAnsi" w:hAnsi="Calibri" w:cs="Calibri"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7"/>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943E9"/>
    <w:rsid w:val="000538F3"/>
    <w:rsid w:val="000E6460"/>
    <w:rsid w:val="004F50B8"/>
    <w:rsid w:val="00803CE0"/>
    <w:rsid w:val="00881359"/>
    <w:rsid w:val="009943E9"/>
    <w:rsid w:val="00AD054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E9"/>
    <w:rPr>
      <w:rFonts w:ascii="Calibri" w:hAnsi="Calibri"/>
    </w:rPr>
  </w:style>
  <w:style w:type="paragraph" w:styleId="Titre1">
    <w:name w:val="heading 1"/>
    <w:basedOn w:val="Normal"/>
    <w:next w:val="Normal"/>
    <w:link w:val="Titre1Car"/>
    <w:uiPriority w:val="9"/>
    <w:qFormat/>
    <w:rsid w:val="009943E9"/>
    <w:pPr>
      <w:spacing w:after="0" w:line="240" w:lineRule="auto"/>
      <w:jc w:val="center"/>
      <w:outlineLvl w:val="0"/>
    </w:pPr>
    <w:rPr>
      <w:rFonts w:asciiTheme="minorHAnsi" w:hAnsiTheme="minorHAnsi" w:cstheme="minorHAns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43E9"/>
    <w:rPr>
      <w:rFonts w:eastAsia="Calibri" w:cstheme="minorHAnsi"/>
      <w:b/>
      <w:sz w:val="28"/>
      <w:szCs w:val="28"/>
    </w:rPr>
  </w:style>
  <w:style w:type="paragraph" w:styleId="TM1">
    <w:name w:val="toc 1"/>
    <w:basedOn w:val="Normal"/>
    <w:next w:val="Normal"/>
    <w:autoRedefine/>
    <w:uiPriority w:val="39"/>
    <w:semiHidden/>
    <w:unhideWhenUsed/>
    <w:qFormat/>
    <w:rsid w:val="009943E9"/>
    <w:pPr>
      <w:spacing w:after="100"/>
    </w:pPr>
    <w:rPr>
      <w:rFonts w:asciiTheme="minorHAnsi" w:eastAsiaTheme="minorEastAsia" w:hAnsiTheme="minorHAnsi"/>
      <w:lang w:val="fr-FR"/>
    </w:rPr>
  </w:style>
  <w:style w:type="paragraph" w:styleId="TM2">
    <w:name w:val="toc 2"/>
    <w:basedOn w:val="Normal"/>
    <w:next w:val="Normal"/>
    <w:autoRedefine/>
    <w:uiPriority w:val="39"/>
    <w:semiHidden/>
    <w:unhideWhenUsed/>
    <w:qFormat/>
    <w:rsid w:val="009943E9"/>
    <w:pPr>
      <w:spacing w:after="100"/>
      <w:ind w:left="220"/>
    </w:pPr>
    <w:rPr>
      <w:rFonts w:asciiTheme="minorHAnsi" w:eastAsiaTheme="minorEastAsia" w:hAnsiTheme="minorHAnsi"/>
      <w:lang w:val="fr-FR"/>
    </w:rPr>
  </w:style>
  <w:style w:type="paragraph" w:styleId="TM3">
    <w:name w:val="toc 3"/>
    <w:basedOn w:val="Normal"/>
    <w:next w:val="Normal"/>
    <w:autoRedefine/>
    <w:uiPriority w:val="39"/>
    <w:semiHidden/>
    <w:unhideWhenUsed/>
    <w:qFormat/>
    <w:rsid w:val="009943E9"/>
    <w:pPr>
      <w:spacing w:after="100"/>
      <w:ind w:left="440"/>
    </w:pPr>
    <w:rPr>
      <w:rFonts w:asciiTheme="minorHAnsi" w:eastAsiaTheme="minorEastAsia" w:hAnsiTheme="minorHAnsi"/>
      <w:lang w:val="fr-FR"/>
    </w:rPr>
  </w:style>
  <w:style w:type="paragraph" w:styleId="Paragraphedeliste">
    <w:name w:val="List Paragraph"/>
    <w:basedOn w:val="Normal"/>
    <w:qFormat/>
    <w:rsid w:val="009943E9"/>
    <w:pPr>
      <w:ind w:left="720"/>
      <w:contextualSpacing/>
    </w:pPr>
    <w:rPr>
      <w:rFonts w:asciiTheme="minorHAnsi" w:eastAsiaTheme="minorHAnsi" w:hAnsiTheme="minorHAnsi"/>
    </w:rPr>
  </w:style>
  <w:style w:type="paragraph" w:styleId="En-ttedetabledesmatires">
    <w:name w:val="TOC Heading"/>
    <w:basedOn w:val="Titre1"/>
    <w:next w:val="Normal"/>
    <w:uiPriority w:val="39"/>
    <w:unhideWhenUsed/>
    <w:qFormat/>
    <w:rsid w:val="009943E9"/>
    <w:pPr>
      <w:outlineLvl w:val="9"/>
    </w:pPr>
    <w:rPr>
      <w:lang w:val="fr-FR"/>
    </w:rPr>
  </w:style>
  <w:style w:type="paragraph" w:customStyle="1" w:styleId="Paragraphedeliste1">
    <w:name w:val="Paragraphe de liste1"/>
    <w:basedOn w:val="Normal"/>
    <w:uiPriority w:val="34"/>
    <w:qFormat/>
    <w:rsid w:val="009943E9"/>
    <w:pPr>
      <w:ind w:left="720" w:firstLine="360"/>
      <w:contextualSpacing/>
      <w:jc w:val="both"/>
    </w:pPr>
    <w:rPr>
      <w:rFonts w:ascii="Arial" w:eastAsia="Times New Roman" w:hAnsi="Arial" w:cs="Arial"/>
    </w:rPr>
  </w:style>
  <w:style w:type="paragraph" w:styleId="Notedebasdepage">
    <w:name w:val="footnote text"/>
    <w:basedOn w:val="Normal"/>
    <w:link w:val="NotedebasdepageCar"/>
    <w:uiPriority w:val="99"/>
    <w:semiHidden/>
    <w:unhideWhenUsed/>
    <w:rsid w:val="009943E9"/>
    <w:pPr>
      <w:spacing w:after="0" w:line="240" w:lineRule="auto"/>
    </w:pPr>
    <w:rPr>
      <w:rFonts w:cs="Times New Roman"/>
      <w:sz w:val="20"/>
      <w:szCs w:val="20"/>
    </w:rPr>
  </w:style>
  <w:style w:type="character" w:customStyle="1" w:styleId="NotedebasdepageCar">
    <w:name w:val="Note de bas de page Car"/>
    <w:basedOn w:val="Policepardfaut"/>
    <w:link w:val="Notedebasdepage"/>
    <w:uiPriority w:val="99"/>
    <w:semiHidden/>
    <w:rsid w:val="009943E9"/>
    <w:rPr>
      <w:rFonts w:ascii="Calibri" w:hAnsi="Calibri" w:cs="Times New Roman"/>
      <w:sz w:val="20"/>
      <w:szCs w:val="20"/>
    </w:rPr>
  </w:style>
  <w:style w:type="character" w:styleId="Appelnotedebasdep">
    <w:name w:val="footnote reference"/>
    <w:basedOn w:val="Policepardfaut"/>
    <w:uiPriority w:val="99"/>
    <w:semiHidden/>
    <w:unhideWhenUsed/>
    <w:rsid w:val="009943E9"/>
    <w:rPr>
      <w:vertAlign w:val="superscript"/>
    </w:rPr>
  </w:style>
  <w:style w:type="paragraph" w:styleId="Textedebulles">
    <w:name w:val="Balloon Text"/>
    <w:basedOn w:val="Normal"/>
    <w:link w:val="TextedebullesCar"/>
    <w:uiPriority w:val="99"/>
    <w:semiHidden/>
    <w:unhideWhenUsed/>
    <w:rsid w:val="009943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43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7E314-0A06-4765-BC04-7F1FA00D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1000</Words>
  <Characters>5505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WILMS Laurent</dc:creator>
  <cp:keywords/>
  <dc:description/>
  <cp:lastModifiedBy>ETNIC</cp:lastModifiedBy>
  <cp:revision>6</cp:revision>
  <cp:lastPrinted>2017-09-15T12:11:00Z</cp:lastPrinted>
  <dcterms:created xsi:type="dcterms:W3CDTF">2017-09-15T15:57:00Z</dcterms:created>
  <dcterms:modified xsi:type="dcterms:W3CDTF">2017-10-11T14:07:00Z</dcterms:modified>
</cp:coreProperties>
</file>